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Resolution/Bill No: CT07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 of Resolution/Bill: 11/27/18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</w:t>
            </w:r>
            <w:r w:rsidDel="00000000" w:rsidR="00000000" w:rsidRPr="00000000">
              <w:rPr>
                <w:rtl w:val="0"/>
              </w:rPr>
              <w:t xml:space="preserve">The Engineering Ambassadors Contingency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Engineering Ambassadors Club, hereafter referred to as </w:t>
            </w:r>
            <w:r w:rsidDel="00000000" w:rsidR="00000000" w:rsidRPr="00000000">
              <w:rPr>
                <w:i w:val="1"/>
                <w:rtl w:val="0"/>
              </w:rPr>
              <w:t xml:space="preserve">the organization</w:t>
            </w:r>
            <w:r w:rsidDel="00000000" w:rsidR="00000000" w:rsidRPr="00000000">
              <w:rPr>
                <w:rtl w:val="0"/>
              </w:rPr>
              <w:t xml:space="preserve">, requested a contingency from SGA for the “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Karaoke &amp; Games</w:t>
            </w:r>
            <w:r w:rsidDel="00000000" w:rsidR="00000000" w:rsidRPr="00000000">
              <w:rPr>
                <w:rtl w:val="0"/>
              </w:rPr>
              <w:t xml:space="preserve">” event.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organization’s event will be held January 16, at 7:30 p.m.,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 qualifies for a contingency request in accordance with the Financial Bylaws, and does not need to contribute 10% for educational requests because they are a new organization,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goal of this event is to bring students together through music.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b w:val="1"/>
                <w:rtl w:val="0"/>
              </w:rPr>
              <w:t xml:space="preserve">$979.66 </w:t>
            </w:r>
            <w:r w:rsidDel="00000000" w:rsidR="00000000" w:rsidRPr="00000000">
              <w:rPr>
                <w:rtl w:val="0"/>
              </w:rPr>
              <w:t xml:space="preserve">for marketing supplies and distributional apparel and; 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color w:val="ff0000"/>
                <w:rtl w:val="0"/>
              </w:rPr>
              <w:t xml:space="preserve">$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979.66 </w:t>
            </w:r>
            <w:r w:rsidDel="00000000" w:rsidR="00000000" w:rsidRPr="00000000">
              <w:rPr>
                <w:rtl w:val="0"/>
              </w:rPr>
              <w:t xml:space="preserve">for marketing supplies and distributional apparel. 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