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1262063</wp:posOffset>
            </wp:positionH>
            <wp:positionV relativeFrom="paragraph">
              <wp:posOffset>0</wp:posOffset>
            </wp:positionV>
            <wp:extent cx="3419475" cy="1076325"/>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38146" l="0" r="2179" t="31062"/>
                    <a:stretch>
                      <a:fillRect/>
                    </a:stretch>
                  </pic:blipFill>
                  <pic:spPr>
                    <a:xfrm>
                      <a:off x="0" y="0"/>
                      <a:ext cx="3419475" cy="1076325"/>
                    </a:xfrm>
                    <a:prstGeom prst="rect"/>
                    <a:ln/>
                  </pic:spPr>
                </pic:pic>
              </a:graphicData>
            </a:graphic>
          </wp:anchor>
        </w:drawing>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r>
    </w:p>
    <w:tbl>
      <w:tblPr>
        <w:tblStyle w:val="Table1"/>
        <w:tblW w:w="9576.0" w:type="dxa"/>
        <w:jc w:val="left"/>
        <w:tblInd w:w="0.0" w:type="dxa"/>
        <w:tblLayout w:type="fixed"/>
        <w:tblLook w:val="0000"/>
      </w:tblPr>
      <w:tblGrid>
        <w:gridCol w:w="4788"/>
        <w:gridCol w:w="4788"/>
        <w:tblGridChange w:id="0">
          <w:tblGrid>
            <w:gridCol w:w="4788"/>
            <w:gridCol w:w="4788"/>
          </w:tblGrid>
        </w:tblGridChange>
      </w:tblGrid>
      <w:tr>
        <w:trPr>
          <w:trHeight w:val="680" w:hRule="atLeast"/>
        </w:trPr>
        <w:tc>
          <w:tcPr/>
          <w:p w:rsidR="00000000" w:rsidDel="00000000" w:rsidP="00000000" w:rsidRDefault="00000000" w:rsidRPr="00000000" w14:paraId="00000003">
            <w:pPr>
              <w:contextualSpacing w:val="0"/>
              <w:rPr>
                <w:b w:val="1"/>
              </w:rPr>
            </w:pPr>
            <w:r w:rsidDel="00000000" w:rsidR="00000000" w:rsidRPr="00000000">
              <w:rPr>
                <w:rtl w:val="0"/>
              </w:rPr>
            </w:r>
          </w:p>
          <w:p w:rsidR="00000000" w:rsidDel="00000000" w:rsidP="00000000" w:rsidRDefault="00000000" w:rsidRPr="00000000" w14:paraId="00000004">
            <w:pPr>
              <w:contextualSpacing w:val="0"/>
              <w:rPr>
                <w:b w:val="1"/>
              </w:rPr>
            </w:pPr>
            <w:r w:rsidDel="00000000" w:rsidR="00000000" w:rsidRPr="00000000">
              <w:rPr>
                <w:rtl w:val="0"/>
              </w:rPr>
            </w:r>
          </w:p>
          <w:p w:rsidR="00000000" w:rsidDel="00000000" w:rsidP="00000000" w:rsidRDefault="00000000" w:rsidRPr="00000000" w14:paraId="00000005">
            <w:pPr>
              <w:contextualSpacing w:val="0"/>
              <w:rPr>
                <w:b w:val="1"/>
              </w:rPr>
            </w:pPr>
            <w:r w:rsidDel="00000000" w:rsidR="00000000" w:rsidRPr="00000000">
              <w:rPr>
                <w:rtl w:val="0"/>
              </w:rPr>
            </w:r>
          </w:p>
          <w:p w:rsidR="00000000" w:rsidDel="00000000" w:rsidP="00000000" w:rsidRDefault="00000000" w:rsidRPr="00000000" w14:paraId="00000006">
            <w:pPr>
              <w:contextualSpacing w:val="0"/>
              <w:rPr>
                <w:b w:val="1"/>
              </w:rPr>
            </w:pPr>
            <w:r w:rsidDel="00000000" w:rsidR="00000000" w:rsidRPr="00000000">
              <w:rPr>
                <w:rtl w:val="0"/>
              </w:rPr>
            </w:r>
          </w:p>
          <w:p w:rsidR="00000000" w:rsidDel="00000000" w:rsidP="00000000" w:rsidRDefault="00000000" w:rsidRPr="00000000" w14:paraId="00000007">
            <w:pPr>
              <w:contextualSpacing w:val="0"/>
              <w:rPr>
                <w:b w:val="1"/>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b w:val="1"/>
                <w:rtl w:val="0"/>
              </w:rPr>
              <w:t xml:space="preserve">Committee: Administrative Affairs</w:t>
            </w: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r>
          </w:p>
        </w:tc>
        <w:tc>
          <w:tcPr/>
          <w:p w:rsidR="00000000" w:rsidDel="00000000" w:rsidP="00000000" w:rsidRDefault="00000000" w:rsidRPr="00000000" w14:paraId="0000000A">
            <w:pPr>
              <w:contextualSpacing w:val="0"/>
              <w:rPr>
                <w:b w:val="1"/>
              </w:rPr>
            </w:pPr>
            <w:r w:rsidDel="00000000" w:rsidR="00000000" w:rsidRPr="00000000">
              <w:rPr>
                <w:rtl w:val="0"/>
              </w:rPr>
            </w:r>
          </w:p>
          <w:p w:rsidR="00000000" w:rsidDel="00000000" w:rsidP="00000000" w:rsidRDefault="00000000" w:rsidRPr="00000000" w14:paraId="0000000B">
            <w:pPr>
              <w:contextualSpacing w:val="0"/>
              <w:rPr>
                <w:b w:val="1"/>
              </w:rPr>
            </w:pPr>
            <w:r w:rsidDel="00000000" w:rsidR="00000000" w:rsidRPr="00000000">
              <w:rPr>
                <w:rtl w:val="0"/>
              </w:rPr>
            </w:r>
          </w:p>
          <w:p w:rsidR="00000000" w:rsidDel="00000000" w:rsidP="00000000" w:rsidRDefault="00000000" w:rsidRPr="00000000" w14:paraId="0000000C">
            <w:pPr>
              <w:contextualSpacing w:val="0"/>
              <w:rPr>
                <w:b w:val="1"/>
              </w:rPr>
            </w:pPr>
            <w:r w:rsidDel="00000000" w:rsidR="00000000" w:rsidRPr="00000000">
              <w:rPr>
                <w:rtl w:val="0"/>
              </w:rPr>
            </w:r>
          </w:p>
          <w:p w:rsidR="00000000" w:rsidDel="00000000" w:rsidP="00000000" w:rsidRDefault="00000000" w:rsidRPr="00000000" w14:paraId="0000000D">
            <w:pPr>
              <w:contextualSpacing w:val="0"/>
              <w:rPr>
                <w:b w:val="1"/>
              </w:rPr>
            </w:pPr>
            <w:r w:rsidDel="00000000" w:rsidR="00000000" w:rsidRPr="00000000">
              <w:rPr>
                <w:rtl w:val="0"/>
              </w:rPr>
            </w:r>
          </w:p>
          <w:p w:rsidR="00000000" w:rsidDel="00000000" w:rsidP="00000000" w:rsidRDefault="00000000" w:rsidRPr="00000000" w14:paraId="0000000E">
            <w:pPr>
              <w:contextualSpacing w:val="0"/>
              <w:rPr>
                <w:b w:val="1"/>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b w:val="1"/>
                <w:rtl w:val="0"/>
              </w:rPr>
              <w:t xml:space="preserve">Chief Sponsor: Senator Raymon Hicks</w:t>
            </w:r>
            <w:r w:rsidDel="00000000" w:rsidR="00000000" w:rsidRPr="00000000">
              <w:rPr>
                <w:rtl w:val="0"/>
              </w:rPr>
            </w:r>
          </w:p>
        </w:tc>
      </w:tr>
      <w:tr>
        <w:trPr>
          <w:trHeight w:val="760" w:hRule="atLeast"/>
        </w:trPr>
        <w:tc>
          <w:tcPr/>
          <w:p w:rsidR="00000000" w:rsidDel="00000000" w:rsidP="00000000" w:rsidRDefault="00000000" w:rsidRPr="00000000" w14:paraId="00000010">
            <w:pPr>
              <w:contextualSpacing w:val="0"/>
              <w:rPr/>
            </w:pPr>
            <w:r w:rsidDel="00000000" w:rsidR="00000000" w:rsidRPr="00000000">
              <w:rPr>
                <w:b w:val="1"/>
                <w:rtl w:val="0"/>
              </w:rPr>
              <w:t xml:space="preserve">Resolution No: RSXX</w:t>
            </w:r>
            <w:r w:rsidDel="00000000" w:rsidR="00000000" w:rsidRPr="00000000">
              <w:rPr>
                <w:rtl w:val="0"/>
              </w:rPr>
            </w:r>
          </w:p>
        </w:tc>
        <w:tc>
          <w:tcPr/>
          <w:p w:rsidR="00000000" w:rsidDel="00000000" w:rsidP="00000000" w:rsidRDefault="00000000" w:rsidRPr="00000000" w14:paraId="00000011">
            <w:pPr>
              <w:contextualSpacing w:val="0"/>
              <w:rPr/>
            </w:pPr>
            <w:r w:rsidDel="00000000" w:rsidR="00000000" w:rsidRPr="00000000">
              <w:rPr>
                <w:b w:val="1"/>
                <w:rtl w:val="0"/>
              </w:rPr>
              <w:t xml:space="preserve">Co-Sponsor(s): Director Alexis Swider</w:t>
            </w: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r>
          </w:p>
        </w:tc>
      </w:tr>
    </w:tbl>
    <w:p w:rsidR="00000000" w:rsidDel="00000000" w:rsidP="00000000" w:rsidRDefault="00000000" w:rsidRPr="00000000" w14:paraId="00000013">
      <w:pPr>
        <w:contextualSpacing w:val="0"/>
        <w:rPr/>
      </w:pPr>
      <w:r w:rsidDel="00000000" w:rsidR="00000000" w:rsidRPr="00000000">
        <w:rPr>
          <w:b w:val="1"/>
          <w:rtl w:val="0"/>
        </w:rPr>
        <w:t xml:space="preserve">Date of Resolution: December 4th, 2018</w:t>
      </w: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r>
    </w:p>
    <w:tbl>
      <w:tblPr>
        <w:tblStyle w:val="Table2"/>
        <w:tblW w:w="9576.0" w:type="dxa"/>
        <w:jc w:val="left"/>
        <w:tblInd w:w="0.0" w:type="dxa"/>
        <w:tblLayout w:type="fixed"/>
        <w:tblLook w:val="0000"/>
      </w:tblPr>
      <w:tblGrid>
        <w:gridCol w:w="9576"/>
        <w:tblGridChange w:id="0">
          <w:tblGrid>
            <w:gridCol w:w="9576"/>
          </w:tblGrid>
        </w:tblGridChange>
      </w:tblGrid>
      <w:tr>
        <w:trPr>
          <w:trHeight w:val="1000" w:hRule="atLeast"/>
        </w:trPr>
        <w:tc>
          <w:tcPr/>
          <w:p w:rsidR="00000000" w:rsidDel="00000000" w:rsidP="00000000" w:rsidRDefault="00000000" w:rsidRPr="00000000" w14:paraId="00000016">
            <w:pPr>
              <w:contextualSpacing w:val="0"/>
              <w:rPr/>
            </w:pPr>
            <w:r w:rsidDel="00000000" w:rsidR="00000000" w:rsidRPr="00000000">
              <w:rPr>
                <w:b w:val="1"/>
                <w:rtl w:val="0"/>
              </w:rPr>
              <w:t xml:space="preserve">Title of Resolution: Library Sanitation Wipes </w:t>
            </w: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r>
          </w:p>
        </w:tc>
      </w:tr>
    </w:tbl>
    <w:p w:rsidR="00000000" w:rsidDel="00000000" w:rsidP="00000000" w:rsidRDefault="00000000" w:rsidRPr="00000000" w14:paraId="00000019">
      <w:pPr>
        <w:contextualSpacing w:val="0"/>
        <w:jc w:val="center"/>
        <w:rPr/>
      </w:pPr>
      <w:r w:rsidDel="00000000" w:rsidR="00000000" w:rsidRPr="00000000">
        <w:rPr>
          <w:smallCaps w:val="1"/>
          <w:rtl w:val="0"/>
        </w:rPr>
        <w:t xml:space="preserve">Be It Enacted By The Old Dominion University Student Body Senate:</w:t>
      </w: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r>
    </w:p>
    <w:tbl>
      <w:tblPr>
        <w:tblStyle w:val="Table3"/>
        <w:tblW w:w="9570.0" w:type="dxa"/>
        <w:jc w:val="left"/>
        <w:tblInd w:w="0.0" w:type="dxa"/>
        <w:tblLayout w:type="fixed"/>
        <w:tblLook w:val="0000"/>
      </w:tblPr>
      <w:tblGrid>
        <w:gridCol w:w="480"/>
        <w:gridCol w:w="9090"/>
        <w:tblGridChange w:id="0">
          <w:tblGrid>
            <w:gridCol w:w="480"/>
            <w:gridCol w:w="9090"/>
          </w:tblGrid>
        </w:tblGridChange>
      </w:tblGrid>
      <w:tr>
        <w:tc>
          <w:tcPr/>
          <w:p w:rsidR="00000000" w:rsidDel="00000000" w:rsidP="00000000" w:rsidRDefault="00000000" w:rsidRPr="00000000" w14:paraId="0000001B">
            <w:pPr>
              <w:contextualSpacing w:val="0"/>
              <w:jc w:val="right"/>
              <w:rPr/>
            </w:pPr>
            <w:r w:rsidDel="00000000" w:rsidR="00000000" w:rsidRPr="00000000">
              <w:rPr>
                <w:b w:val="1"/>
                <w:smallCaps w:val="1"/>
                <w:rtl w:val="0"/>
              </w:rPr>
              <w:t xml:space="preserve">1</w:t>
            </w:r>
            <w:r w:rsidDel="00000000" w:rsidR="00000000" w:rsidRPr="00000000">
              <w:rPr>
                <w:rtl w:val="0"/>
              </w:rPr>
            </w:r>
          </w:p>
          <w:p w:rsidR="00000000" w:rsidDel="00000000" w:rsidP="00000000" w:rsidRDefault="00000000" w:rsidRPr="00000000" w14:paraId="0000001C">
            <w:pPr>
              <w:contextualSpacing w:val="0"/>
              <w:jc w:val="right"/>
              <w:rPr/>
            </w:pPr>
            <w:r w:rsidDel="00000000" w:rsidR="00000000" w:rsidRPr="00000000">
              <w:rPr>
                <w:b w:val="1"/>
                <w:smallCaps w:val="1"/>
                <w:rtl w:val="0"/>
              </w:rPr>
              <w:t xml:space="preserve">2</w:t>
            </w:r>
            <w:r w:rsidDel="00000000" w:rsidR="00000000" w:rsidRPr="00000000">
              <w:rPr>
                <w:rtl w:val="0"/>
              </w:rPr>
            </w:r>
          </w:p>
          <w:p w:rsidR="00000000" w:rsidDel="00000000" w:rsidP="00000000" w:rsidRDefault="00000000" w:rsidRPr="00000000" w14:paraId="0000001D">
            <w:pPr>
              <w:contextualSpacing w:val="0"/>
              <w:jc w:val="right"/>
              <w:rPr/>
            </w:pPr>
            <w:r w:rsidDel="00000000" w:rsidR="00000000" w:rsidRPr="00000000">
              <w:rPr>
                <w:b w:val="1"/>
                <w:smallCaps w:val="1"/>
                <w:rtl w:val="0"/>
              </w:rPr>
              <w:t xml:space="preserve">3</w:t>
            </w:r>
            <w:r w:rsidDel="00000000" w:rsidR="00000000" w:rsidRPr="00000000">
              <w:rPr>
                <w:rtl w:val="0"/>
              </w:rPr>
            </w:r>
          </w:p>
          <w:p w:rsidR="00000000" w:rsidDel="00000000" w:rsidP="00000000" w:rsidRDefault="00000000" w:rsidRPr="00000000" w14:paraId="0000001E">
            <w:pPr>
              <w:contextualSpacing w:val="0"/>
              <w:jc w:val="right"/>
              <w:rPr/>
            </w:pPr>
            <w:r w:rsidDel="00000000" w:rsidR="00000000" w:rsidRPr="00000000">
              <w:rPr>
                <w:b w:val="1"/>
                <w:smallCaps w:val="1"/>
                <w:rtl w:val="0"/>
              </w:rPr>
              <w:t xml:space="preserve">4</w:t>
            </w:r>
            <w:r w:rsidDel="00000000" w:rsidR="00000000" w:rsidRPr="00000000">
              <w:rPr>
                <w:rtl w:val="0"/>
              </w:rPr>
            </w:r>
          </w:p>
          <w:p w:rsidR="00000000" w:rsidDel="00000000" w:rsidP="00000000" w:rsidRDefault="00000000" w:rsidRPr="00000000" w14:paraId="0000001F">
            <w:pPr>
              <w:contextualSpacing w:val="0"/>
              <w:jc w:val="right"/>
              <w:rPr/>
            </w:pPr>
            <w:r w:rsidDel="00000000" w:rsidR="00000000" w:rsidRPr="00000000">
              <w:rPr>
                <w:b w:val="1"/>
                <w:smallCaps w:val="1"/>
                <w:rtl w:val="0"/>
              </w:rPr>
              <w:t xml:space="preserve">5</w:t>
            </w:r>
            <w:r w:rsidDel="00000000" w:rsidR="00000000" w:rsidRPr="00000000">
              <w:rPr>
                <w:rtl w:val="0"/>
              </w:rPr>
            </w:r>
          </w:p>
          <w:p w:rsidR="00000000" w:rsidDel="00000000" w:rsidP="00000000" w:rsidRDefault="00000000" w:rsidRPr="00000000" w14:paraId="00000020">
            <w:pPr>
              <w:contextualSpacing w:val="0"/>
              <w:jc w:val="right"/>
              <w:rPr/>
            </w:pPr>
            <w:r w:rsidDel="00000000" w:rsidR="00000000" w:rsidRPr="00000000">
              <w:rPr>
                <w:b w:val="1"/>
                <w:smallCaps w:val="1"/>
                <w:rtl w:val="0"/>
              </w:rPr>
              <w:t xml:space="preserve">6</w:t>
            </w:r>
            <w:r w:rsidDel="00000000" w:rsidR="00000000" w:rsidRPr="00000000">
              <w:rPr>
                <w:rtl w:val="0"/>
              </w:rPr>
            </w:r>
          </w:p>
          <w:p w:rsidR="00000000" w:rsidDel="00000000" w:rsidP="00000000" w:rsidRDefault="00000000" w:rsidRPr="00000000" w14:paraId="00000021">
            <w:pPr>
              <w:contextualSpacing w:val="0"/>
              <w:jc w:val="right"/>
              <w:rPr/>
            </w:pPr>
            <w:r w:rsidDel="00000000" w:rsidR="00000000" w:rsidRPr="00000000">
              <w:rPr>
                <w:b w:val="1"/>
                <w:smallCaps w:val="1"/>
                <w:rtl w:val="0"/>
              </w:rPr>
              <w:t xml:space="preserve">7</w:t>
            </w:r>
            <w:r w:rsidDel="00000000" w:rsidR="00000000" w:rsidRPr="00000000">
              <w:rPr>
                <w:rtl w:val="0"/>
              </w:rPr>
            </w:r>
          </w:p>
          <w:p w:rsidR="00000000" w:rsidDel="00000000" w:rsidP="00000000" w:rsidRDefault="00000000" w:rsidRPr="00000000" w14:paraId="00000022">
            <w:pPr>
              <w:contextualSpacing w:val="0"/>
              <w:jc w:val="right"/>
              <w:rPr/>
            </w:pPr>
            <w:r w:rsidDel="00000000" w:rsidR="00000000" w:rsidRPr="00000000">
              <w:rPr>
                <w:b w:val="1"/>
                <w:smallCaps w:val="1"/>
                <w:rtl w:val="0"/>
              </w:rPr>
              <w:t xml:space="preserve">8</w:t>
            </w:r>
            <w:r w:rsidDel="00000000" w:rsidR="00000000" w:rsidRPr="00000000">
              <w:rPr>
                <w:rtl w:val="0"/>
              </w:rPr>
            </w:r>
          </w:p>
          <w:p w:rsidR="00000000" w:rsidDel="00000000" w:rsidP="00000000" w:rsidRDefault="00000000" w:rsidRPr="00000000" w14:paraId="00000023">
            <w:pPr>
              <w:contextualSpacing w:val="0"/>
              <w:jc w:val="right"/>
              <w:rPr/>
            </w:pPr>
            <w:r w:rsidDel="00000000" w:rsidR="00000000" w:rsidRPr="00000000">
              <w:rPr>
                <w:b w:val="1"/>
                <w:smallCaps w:val="1"/>
                <w:rtl w:val="0"/>
              </w:rPr>
              <w:t xml:space="preserve">9</w:t>
            </w:r>
            <w:r w:rsidDel="00000000" w:rsidR="00000000" w:rsidRPr="00000000">
              <w:rPr>
                <w:rtl w:val="0"/>
              </w:rPr>
            </w:r>
          </w:p>
          <w:p w:rsidR="00000000" w:rsidDel="00000000" w:rsidP="00000000" w:rsidRDefault="00000000" w:rsidRPr="00000000" w14:paraId="00000024">
            <w:pPr>
              <w:contextualSpacing w:val="0"/>
              <w:jc w:val="right"/>
              <w:rPr/>
            </w:pPr>
            <w:r w:rsidDel="00000000" w:rsidR="00000000" w:rsidRPr="00000000">
              <w:rPr>
                <w:b w:val="1"/>
                <w:smallCaps w:val="1"/>
                <w:rtl w:val="0"/>
              </w:rPr>
              <w:t xml:space="preserve">10</w:t>
            </w:r>
            <w:r w:rsidDel="00000000" w:rsidR="00000000" w:rsidRPr="00000000">
              <w:rPr>
                <w:rtl w:val="0"/>
              </w:rPr>
            </w:r>
          </w:p>
          <w:p w:rsidR="00000000" w:rsidDel="00000000" w:rsidP="00000000" w:rsidRDefault="00000000" w:rsidRPr="00000000" w14:paraId="00000025">
            <w:pPr>
              <w:contextualSpacing w:val="0"/>
              <w:jc w:val="right"/>
              <w:rPr/>
            </w:pPr>
            <w:r w:rsidDel="00000000" w:rsidR="00000000" w:rsidRPr="00000000">
              <w:rPr>
                <w:b w:val="1"/>
                <w:smallCaps w:val="1"/>
                <w:rtl w:val="0"/>
              </w:rPr>
              <w:t xml:space="preserve">11</w:t>
            </w:r>
            <w:r w:rsidDel="00000000" w:rsidR="00000000" w:rsidRPr="00000000">
              <w:rPr>
                <w:rtl w:val="0"/>
              </w:rPr>
            </w:r>
          </w:p>
          <w:p w:rsidR="00000000" w:rsidDel="00000000" w:rsidP="00000000" w:rsidRDefault="00000000" w:rsidRPr="00000000" w14:paraId="00000026">
            <w:pPr>
              <w:contextualSpacing w:val="0"/>
              <w:jc w:val="right"/>
              <w:rPr/>
            </w:pPr>
            <w:r w:rsidDel="00000000" w:rsidR="00000000" w:rsidRPr="00000000">
              <w:rPr>
                <w:b w:val="1"/>
                <w:smallCaps w:val="1"/>
                <w:rtl w:val="0"/>
              </w:rPr>
              <w:t xml:space="preserve">12</w:t>
            </w:r>
            <w:r w:rsidDel="00000000" w:rsidR="00000000" w:rsidRPr="00000000">
              <w:rPr>
                <w:rtl w:val="0"/>
              </w:rPr>
            </w:r>
          </w:p>
          <w:p w:rsidR="00000000" w:rsidDel="00000000" w:rsidP="00000000" w:rsidRDefault="00000000" w:rsidRPr="00000000" w14:paraId="00000027">
            <w:pPr>
              <w:contextualSpacing w:val="0"/>
              <w:jc w:val="right"/>
              <w:rPr/>
            </w:pPr>
            <w:r w:rsidDel="00000000" w:rsidR="00000000" w:rsidRPr="00000000">
              <w:rPr>
                <w:b w:val="1"/>
                <w:smallCaps w:val="1"/>
                <w:rtl w:val="0"/>
              </w:rPr>
              <w:t xml:space="preserve">13</w:t>
            </w:r>
            <w:r w:rsidDel="00000000" w:rsidR="00000000" w:rsidRPr="00000000">
              <w:rPr>
                <w:rtl w:val="0"/>
              </w:rPr>
            </w:r>
          </w:p>
          <w:p w:rsidR="00000000" w:rsidDel="00000000" w:rsidP="00000000" w:rsidRDefault="00000000" w:rsidRPr="00000000" w14:paraId="00000028">
            <w:pPr>
              <w:contextualSpacing w:val="0"/>
              <w:jc w:val="right"/>
              <w:rPr/>
            </w:pPr>
            <w:r w:rsidDel="00000000" w:rsidR="00000000" w:rsidRPr="00000000">
              <w:rPr>
                <w:b w:val="1"/>
                <w:smallCaps w:val="1"/>
                <w:rtl w:val="0"/>
              </w:rPr>
              <w:t xml:space="preserve">14</w:t>
            </w:r>
            <w:r w:rsidDel="00000000" w:rsidR="00000000" w:rsidRPr="00000000">
              <w:rPr>
                <w:rtl w:val="0"/>
              </w:rPr>
            </w:r>
          </w:p>
          <w:p w:rsidR="00000000" w:rsidDel="00000000" w:rsidP="00000000" w:rsidRDefault="00000000" w:rsidRPr="00000000" w14:paraId="00000029">
            <w:pPr>
              <w:contextualSpacing w:val="0"/>
              <w:jc w:val="right"/>
              <w:rPr/>
            </w:pPr>
            <w:r w:rsidDel="00000000" w:rsidR="00000000" w:rsidRPr="00000000">
              <w:rPr>
                <w:b w:val="1"/>
                <w:smallCaps w:val="1"/>
                <w:rtl w:val="0"/>
              </w:rPr>
              <w:t xml:space="preserve">15</w:t>
            </w:r>
            <w:r w:rsidDel="00000000" w:rsidR="00000000" w:rsidRPr="00000000">
              <w:rPr>
                <w:rtl w:val="0"/>
              </w:rPr>
            </w:r>
          </w:p>
          <w:p w:rsidR="00000000" w:rsidDel="00000000" w:rsidP="00000000" w:rsidRDefault="00000000" w:rsidRPr="00000000" w14:paraId="0000002A">
            <w:pPr>
              <w:contextualSpacing w:val="0"/>
              <w:jc w:val="right"/>
              <w:rPr/>
            </w:pPr>
            <w:r w:rsidDel="00000000" w:rsidR="00000000" w:rsidRPr="00000000">
              <w:rPr>
                <w:b w:val="1"/>
                <w:smallCaps w:val="1"/>
                <w:rtl w:val="0"/>
              </w:rPr>
              <w:t xml:space="preserve">16</w:t>
            </w:r>
            <w:r w:rsidDel="00000000" w:rsidR="00000000" w:rsidRPr="00000000">
              <w:rPr>
                <w:rtl w:val="0"/>
              </w:rPr>
            </w:r>
          </w:p>
          <w:p w:rsidR="00000000" w:rsidDel="00000000" w:rsidP="00000000" w:rsidRDefault="00000000" w:rsidRPr="00000000" w14:paraId="0000002B">
            <w:pPr>
              <w:contextualSpacing w:val="0"/>
              <w:jc w:val="right"/>
              <w:rPr/>
            </w:pPr>
            <w:r w:rsidDel="00000000" w:rsidR="00000000" w:rsidRPr="00000000">
              <w:rPr>
                <w:b w:val="1"/>
                <w:smallCaps w:val="1"/>
                <w:rtl w:val="0"/>
              </w:rPr>
              <w:t xml:space="preserve">17</w:t>
            </w:r>
            <w:r w:rsidDel="00000000" w:rsidR="00000000" w:rsidRPr="00000000">
              <w:rPr>
                <w:rtl w:val="0"/>
              </w:rPr>
            </w:r>
          </w:p>
          <w:p w:rsidR="00000000" w:rsidDel="00000000" w:rsidP="00000000" w:rsidRDefault="00000000" w:rsidRPr="00000000" w14:paraId="0000002C">
            <w:pPr>
              <w:contextualSpacing w:val="0"/>
              <w:jc w:val="right"/>
              <w:rPr/>
            </w:pPr>
            <w:r w:rsidDel="00000000" w:rsidR="00000000" w:rsidRPr="00000000">
              <w:rPr>
                <w:b w:val="1"/>
                <w:smallCaps w:val="1"/>
                <w:rtl w:val="0"/>
              </w:rPr>
              <w:t xml:space="preserve">18</w:t>
            </w:r>
            <w:r w:rsidDel="00000000" w:rsidR="00000000" w:rsidRPr="00000000">
              <w:rPr>
                <w:rtl w:val="0"/>
              </w:rPr>
            </w:r>
          </w:p>
          <w:p w:rsidR="00000000" w:rsidDel="00000000" w:rsidP="00000000" w:rsidRDefault="00000000" w:rsidRPr="00000000" w14:paraId="0000002D">
            <w:pPr>
              <w:contextualSpacing w:val="0"/>
              <w:jc w:val="right"/>
              <w:rPr/>
            </w:pPr>
            <w:r w:rsidDel="00000000" w:rsidR="00000000" w:rsidRPr="00000000">
              <w:rPr>
                <w:b w:val="1"/>
                <w:smallCaps w:val="1"/>
                <w:rtl w:val="0"/>
              </w:rPr>
              <w:t xml:space="preserve">19</w:t>
            </w:r>
            <w:r w:rsidDel="00000000" w:rsidR="00000000" w:rsidRPr="00000000">
              <w:rPr>
                <w:rtl w:val="0"/>
              </w:rPr>
            </w:r>
          </w:p>
          <w:p w:rsidR="00000000" w:rsidDel="00000000" w:rsidP="00000000" w:rsidRDefault="00000000" w:rsidRPr="00000000" w14:paraId="0000002E">
            <w:pPr>
              <w:contextualSpacing w:val="0"/>
              <w:jc w:val="right"/>
              <w:rPr>
                <w:b w:val="1"/>
                <w:smallCaps w:val="1"/>
              </w:rPr>
            </w:pPr>
            <w:r w:rsidDel="00000000" w:rsidR="00000000" w:rsidRPr="00000000">
              <w:rPr>
                <w:b w:val="1"/>
                <w:smallCaps w:val="1"/>
                <w:rtl w:val="0"/>
              </w:rPr>
              <w:t xml:space="preserve">20</w:t>
            </w:r>
          </w:p>
          <w:p w:rsidR="00000000" w:rsidDel="00000000" w:rsidP="00000000" w:rsidRDefault="00000000" w:rsidRPr="00000000" w14:paraId="0000002F">
            <w:pPr>
              <w:contextualSpacing w:val="0"/>
              <w:jc w:val="right"/>
              <w:rPr>
                <w:b w:val="1"/>
                <w:smallCaps w:val="1"/>
              </w:rPr>
            </w:pPr>
            <w:r w:rsidDel="00000000" w:rsidR="00000000" w:rsidRPr="00000000">
              <w:rPr>
                <w:b w:val="1"/>
                <w:smallCaps w:val="1"/>
                <w:rtl w:val="0"/>
              </w:rPr>
              <w:t xml:space="preserve">21</w:t>
            </w:r>
          </w:p>
          <w:p w:rsidR="00000000" w:rsidDel="00000000" w:rsidP="00000000" w:rsidRDefault="00000000" w:rsidRPr="00000000" w14:paraId="00000030">
            <w:pPr>
              <w:contextualSpacing w:val="0"/>
              <w:jc w:val="right"/>
              <w:rPr>
                <w:b w:val="1"/>
                <w:smallCaps w:val="1"/>
              </w:rPr>
            </w:pPr>
            <w:r w:rsidDel="00000000" w:rsidR="00000000" w:rsidRPr="00000000">
              <w:rPr>
                <w:b w:val="1"/>
                <w:smallCaps w:val="1"/>
                <w:rtl w:val="0"/>
              </w:rPr>
              <w:t xml:space="preserve">22</w:t>
            </w:r>
          </w:p>
          <w:p w:rsidR="00000000" w:rsidDel="00000000" w:rsidP="00000000" w:rsidRDefault="00000000" w:rsidRPr="00000000" w14:paraId="00000031">
            <w:pPr>
              <w:contextualSpacing w:val="0"/>
              <w:jc w:val="right"/>
              <w:rPr>
                <w:b w:val="1"/>
                <w:smallCaps w:val="1"/>
              </w:rPr>
            </w:pPr>
            <w:r w:rsidDel="00000000" w:rsidR="00000000" w:rsidRPr="00000000">
              <w:rPr>
                <w:b w:val="1"/>
                <w:smallCaps w:val="1"/>
                <w:rtl w:val="0"/>
              </w:rPr>
              <w:t xml:space="preserve">23</w:t>
            </w:r>
          </w:p>
        </w:tc>
        <w:tc>
          <w:tcPr/>
          <w:p w:rsidR="00000000" w:rsidDel="00000000" w:rsidP="00000000" w:rsidRDefault="00000000" w:rsidRPr="00000000" w14:paraId="00000032">
            <w:pPr>
              <w:contextualSpacing w:val="0"/>
              <w:rPr/>
            </w:pPr>
            <w:r w:rsidDel="00000000" w:rsidR="00000000" w:rsidRPr="00000000">
              <w:rPr>
                <w:rtl w:val="0"/>
              </w:rPr>
              <w:t xml:space="preserve">WHEREAS, Currently the Douglas L. Perry Library is being utilized by ODU students, faculty, staff, and surrounding public areas,</w:t>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t xml:space="preserve">WHEREAS, This is a collaborative effort with Kathryn Boone, head of learning commons,</w:t>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t xml:space="preserve">WHEREAS, There is currently not a resource available for work spaces to be wiped down and sanitized after use. With the amount of different patrons utilizing the library we are more susceptible to different illnesses as well as aiding in the cleanliness of the work spaces,</w:t>
            </w:r>
          </w:p>
          <w:p w:rsidR="00000000" w:rsidDel="00000000" w:rsidP="00000000" w:rsidRDefault="00000000" w:rsidRPr="00000000" w14:paraId="00000037">
            <w:pPr>
              <w:contextualSpacing w:val="0"/>
              <w:rPr>
                <w:u w:val="single"/>
              </w:rPr>
            </w:pP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rtl w:val="0"/>
              </w:rPr>
              <w:t xml:space="preserve">WHEREAS, A survey was conducted with results stating a need for sanitation resources in the library.</w:t>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t xml:space="preserve">RESOLVED: We plan to add sanitation wipe dispensers in general areas of the Douglas L. Perry Library on each floor. This will aid in the overall Public Health of both the Douglas L. Perry Library, leading into the overall public health of Old Dominion University’s Norfolk campus.</w:t>
            </w:r>
          </w:p>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rtl w:val="0"/>
              </w:rPr>
              <w:t xml:space="preserve">RESOLVED: This resolution shall become effective, subject to the signature of the Student Body President and the Speaker of the Senate. </w:t>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contextualSpacing w:val="0"/>
              <w:rPr/>
            </w:pPr>
            <w:bookmarkStart w:colFirst="0" w:colLast="0" w:name="_gjdgxs" w:id="0"/>
            <w:bookmarkEnd w:id="0"/>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rtl w:val="0"/>
              </w:rPr>
              <w:t xml:space="preserve">_____________________________                      ______________________________</w:t>
            </w:r>
          </w:p>
        </w:tc>
      </w:tr>
      <w:tr>
        <w:tc>
          <w:tcPr/>
          <w:p w:rsidR="00000000" w:rsidDel="00000000" w:rsidP="00000000" w:rsidRDefault="00000000" w:rsidRPr="00000000" w14:paraId="00000040">
            <w:pPr>
              <w:contextualSpacing w:val="0"/>
              <w:rPr/>
            </w:pPr>
            <w:r w:rsidDel="00000000" w:rsidR="00000000" w:rsidRPr="00000000">
              <w:rPr>
                <w:rtl w:val="0"/>
              </w:rPr>
            </w:r>
          </w:p>
        </w:tc>
        <w:tc>
          <w:tcPr/>
          <w:p w:rsidR="00000000" w:rsidDel="00000000" w:rsidP="00000000" w:rsidRDefault="00000000" w:rsidRPr="00000000" w14:paraId="00000041">
            <w:pPr>
              <w:contextualSpacing w:val="0"/>
              <w:rPr/>
            </w:pPr>
            <w:r w:rsidDel="00000000" w:rsidR="00000000" w:rsidRPr="00000000">
              <w:rPr>
                <w:i w:val="1"/>
                <w:rtl w:val="0"/>
              </w:rPr>
              <w:t xml:space="preserve">Isaiah Lucas, President                                         Tarik Terry, Speaker of the Senate</w:t>
            </w:r>
            <w:r w:rsidDel="00000000" w:rsidR="00000000" w:rsidRPr="00000000">
              <w:rPr>
                <w:rtl w:val="0"/>
              </w:rPr>
            </w:r>
          </w:p>
        </w:tc>
      </w:tr>
    </w:tbl>
    <w:p w:rsidR="00000000" w:rsidDel="00000000" w:rsidP="00000000" w:rsidRDefault="00000000" w:rsidRPr="00000000" w14:paraId="00000042">
      <w:pPr>
        <w:contextualSpacing w:val="0"/>
        <w:rPr/>
      </w:pPr>
      <w:r w:rsidDel="00000000" w:rsidR="00000000" w:rsidRPr="00000000">
        <w:rPr>
          <w:rtl w:val="0"/>
        </w:rPr>
      </w:r>
    </w:p>
    <w:sectPr>
      <w:pgSz w:h="15840" w:w="12240"/>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mallCap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